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2" w:rsidRPr="00B81982" w:rsidRDefault="00B81982" w:rsidP="00B819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15"/>
          <w:szCs w:val="15"/>
          <w:lang w:eastAsia="fr-FR"/>
        </w:rPr>
      </w:pPr>
      <w:r w:rsidRPr="00B81982">
        <w:rPr>
          <w:rFonts w:ascii="inherit" w:eastAsia="Times New Roman" w:hAnsi="inherit" w:cs="Arial"/>
          <w:i/>
          <w:iCs/>
          <w:color w:val="800080"/>
          <w:sz w:val="48"/>
          <w:lang w:eastAsia="fr-FR"/>
        </w:rPr>
        <w:t>Anglais</w:t>
      </w:r>
      <w:r w:rsidR="00AA6528">
        <w:rPr>
          <w:rFonts w:ascii="inherit" w:eastAsia="Times New Roman" w:hAnsi="inherit" w:cs="Arial"/>
          <w:i/>
          <w:iCs/>
          <w:color w:val="800080"/>
          <w:sz w:val="48"/>
          <w:lang w:eastAsia="fr-FR"/>
        </w:rPr>
        <w:t xml:space="preserve"> du 2 juin au </w:t>
      </w:r>
      <w:r w:rsidR="00AA6528">
        <w:rPr>
          <w:rFonts w:ascii="inherit" w:eastAsia="Times New Roman" w:hAnsi="inherit" w:cs="Arial" w:hint="eastAsia"/>
          <w:i/>
          <w:iCs/>
          <w:color w:val="800080"/>
          <w:sz w:val="48"/>
          <w:lang w:eastAsia="fr-FR"/>
        </w:rPr>
        <w:t>…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="inherit" w:eastAsia="Times New Roman" w:hAnsi="inherit" w:cs="Arial"/>
          <w:color w:val="2B2B2B"/>
          <w:sz w:val="15"/>
          <w:szCs w:val="15"/>
          <w:lang w:eastAsia="fr-FR"/>
        </w:rPr>
      </w:pPr>
      <w:r w:rsidRPr="00B81982">
        <w:rPr>
          <w:rFonts w:ascii="inherit" w:eastAsia="Times New Roman" w:hAnsi="inherit" w:cs="Arial"/>
          <w:color w:val="2B2B2B"/>
          <w:sz w:val="15"/>
          <w:szCs w:val="15"/>
          <w:lang w:eastAsia="fr-FR"/>
        </w:rPr>
        <w:t> </w:t>
      </w:r>
    </w:p>
    <w:p w:rsidR="00B81982" w:rsidRPr="00AA6528" w:rsidRDefault="00B81982" w:rsidP="00AA652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>Compréhension orale et écrite</w:t>
      </w:r>
    </w:p>
    <w:p w:rsidR="00AA6528" w:rsidRPr="00AA6528" w:rsidRDefault="00AA6528" w:rsidP="00AA6528">
      <w:pPr>
        <w:pStyle w:val="Paragraphedeliste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AA6528" w:rsidRPr="00AA6528" w:rsidRDefault="00B81982" w:rsidP="00AA6528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La semaine dernière, cet enregistrement était proposé :</w:t>
      </w:r>
    </w:p>
    <w:p w:rsidR="00B81982" w:rsidRPr="00AA6528" w:rsidRDefault="00B81982" w:rsidP="00AA6528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Lecteur audio</w:t>
      </w:r>
    </w:p>
    <w:p w:rsidR="00AA6528" w:rsidRPr="00AA6528" w:rsidRDefault="00B81982" w:rsidP="00AA65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hyperlink r:id="rId5" w:history="1">
        <w:r w:rsidRPr="00AA6528">
          <w:rPr>
            <w:rStyle w:val="Lienhypertexte"/>
            <w:rFonts w:asciiTheme="majorHAnsi" w:eastAsia="Times New Roman" w:hAnsiTheme="majorHAnsi" w:cs="Arial"/>
            <w:sz w:val="24"/>
            <w:szCs w:val="24"/>
            <w:lang w:eastAsia="fr-FR"/>
          </w:rPr>
          <w:t>http://lv71.cir.ac-dijon.fr/wp-content/uploads/sites/3/continuite_peda</w:t>
        </w:r>
        <w:r w:rsidRPr="00AA6528">
          <w:rPr>
            <w:rStyle w:val="Lienhypertexte"/>
            <w:rFonts w:asciiTheme="majorHAnsi" w:eastAsia="Times New Roman" w:hAnsiTheme="majorHAnsi" w:cs="Arial"/>
            <w:sz w:val="24"/>
            <w:szCs w:val="24"/>
            <w:lang w:eastAsia="fr-FR"/>
          </w:rPr>
          <w:t>_2020/DD_C3_1_audio.mp3?_=1</w:t>
        </w:r>
      </w:hyperlink>
    </w:p>
    <w:p w:rsidR="00B81982" w:rsidRPr="00B81982" w:rsidRDefault="00B81982" w:rsidP="00AA65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color w:val="FFFFFF"/>
          <w:sz w:val="24"/>
          <w:szCs w:val="24"/>
          <w:lang w:eastAsia="fr-FR"/>
        </w:rPr>
        <w:t>00:00</w:t>
      </w:r>
    </w:p>
    <w:p w:rsidR="00B81982" w:rsidRPr="00B81982" w:rsidRDefault="00B81982" w:rsidP="00AA6528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Et ces questions de compréhension :</w:t>
      </w:r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</w:t>
      </w:r>
      <w:hyperlink r:id="rId6" w:tgtFrame="_blank" w:history="1"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eastAsia="fr-FR"/>
          </w:rPr>
          <w:t>questions</w:t>
        </w:r>
      </w:hyperlink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Avez-vous répondu à toutes les questions ? Au moins à quelques unes ?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C’était sûrement un peu difficile.</w:t>
      </w:r>
    </w:p>
    <w:p w:rsidR="00B81982" w:rsidRPr="00B81982" w:rsidRDefault="00B81982" w:rsidP="00AA65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Voici maintenant la </w:t>
      </w:r>
      <w:r w:rsidRPr="00AA6528">
        <w:rPr>
          <w:rFonts w:asciiTheme="majorHAnsi" w:eastAsia="Times New Roman" w:hAnsiTheme="majorHAnsi" w:cs="Arial"/>
          <w:b/>
          <w:bCs/>
          <w:color w:val="800080"/>
          <w:sz w:val="24"/>
          <w:szCs w:val="24"/>
          <w:lang w:eastAsia="fr-FR"/>
        </w:rPr>
        <w:t>correction</w:t>
      </w:r>
      <w:r w:rsidRPr="00B81982">
        <w:rPr>
          <w:rFonts w:asciiTheme="majorHAnsi" w:eastAsia="Times New Roman" w:hAnsiTheme="majorHAnsi" w:cs="Arial"/>
          <w:color w:val="800080"/>
          <w:sz w:val="24"/>
          <w:szCs w:val="24"/>
          <w:bdr w:val="none" w:sz="0" w:space="0" w:color="auto" w:frame="1"/>
          <w:lang w:eastAsia="fr-FR"/>
        </w:rPr>
        <w:t> 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promise :</w:t>
      </w:r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</w:t>
      </w:r>
      <w:hyperlink r:id="rId7" w:tgtFrame="_blank" w:history="1"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eastAsia="fr-FR"/>
          </w:rPr>
          <w:t>correction</w:t>
        </w:r>
      </w:hyperlink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 </w:t>
      </w:r>
    </w:p>
    <w:p w:rsidR="00B81982" w:rsidRPr="00AA6528" w:rsidRDefault="00B81982" w:rsidP="00AA652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>Une comptine à apprendre pour s’amuser : </w:t>
      </w:r>
      <w:r w:rsidRPr="00AA6528">
        <w:rPr>
          <w:rFonts w:asciiTheme="majorHAnsi" w:eastAsia="Times New Roman" w:hAnsiTheme="majorHAnsi" w:cs="Arial"/>
          <w:b/>
          <w:bCs/>
          <w:i/>
          <w:iCs/>
          <w:color w:val="0000FF"/>
          <w:sz w:val="24"/>
          <w:szCs w:val="24"/>
          <w:lang w:eastAsia="fr-FR"/>
        </w:rPr>
        <w:t xml:space="preserve">One for </w:t>
      </w:r>
      <w:proofErr w:type="spellStart"/>
      <w:r w:rsidRPr="00AA6528">
        <w:rPr>
          <w:rFonts w:asciiTheme="majorHAnsi" w:eastAsia="Times New Roman" w:hAnsiTheme="majorHAnsi" w:cs="Arial"/>
          <w:b/>
          <w:bCs/>
          <w:i/>
          <w:iCs/>
          <w:color w:val="0000FF"/>
          <w:sz w:val="24"/>
          <w:szCs w:val="24"/>
          <w:lang w:eastAsia="fr-FR"/>
        </w:rPr>
        <w:t>sorrow</w:t>
      </w:r>
      <w:proofErr w:type="spellEnd"/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br/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Cette comptine traditionnelle compte jusqu’à 7 en associant à chaque chiffre un autre mot.</w:t>
      </w:r>
    </w:p>
    <w:p w:rsidR="00B81982" w:rsidRPr="00B81982" w:rsidRDefault="00B81982" w:rsidP="00B81982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</w:pP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One for sorrow,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Two for joy,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Three for a girl,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Four for a boy,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Five for silver,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Six for gold,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Seven for a secret,</w:t>
      </w:r>
      <w:r w:rsidRPr="00B81982">
        <w:rPr>
          <w:rFonts w:asciiTheme="majorHAnsi" w:eastAsia="Times New Roman" w:hAnsiTheme="majorHAnsi" w:cs="Arial"/>
          <w:i/>
          <w:iCs/>
          <w:color w:val="767676"/>
          <w:sz w:val="24"/>
          <w:szCs w:val="24"/>
          <w:lang w:val="en-US" w:eastAsia="fr-FR"/>
        </w:rPr>
        <w:br/>
      </w:r>
      <w:r w:rsidRPr="00B81982">
        <w:rPr>
          <w:rFonts w:asciiTheme="majorHAnsi" w:eastAsia="Times New Roman" w:hAnsiTheme="majorHAnsi" w:cs="Arial"/>
          <w:i/>
          <w:iCs/>
          <w:color w:val="800080"/>
          <w:sz w:val="24"/>
          <w:szCs w:val="24"/>
          <w:bdr w:val="none" w:sz="0" w:space="0" w:color="auto" w:frame="1"/>
          <w:lang w:val="en-US" w:eastAsia="fr-FR"/>
        </w:rPr>
        <w:t>Never to be told.</w:t>
      </w:r>
    </w:p>
    <w:p w:rsid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L’animation proposée ci-dessous permet de comprendre facilement les paroles et de s’entraîner à la chanter </w:t>
      </w:r>
      <w:proofErr w:type="gramStart"/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:</w:t>
      </w:r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 </w:t>
      </w:r>
      <w:proofErr w:type="gramEnd"/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fldChar w:fldCharType="begin"/>
      </w:r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instrText xml:space="preserve"> HYPERLINK "https://youtu.be/P1iqI3_1eeM?t=34" </w:instrText>
      </w:r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fldChar w:fldCharType="separate"/>
      </w:r>
      <w:r w:rsidR="00AA6528" w:rsidRPr="00AA6528">
        <w:rPr>
          <w:rStyle w:val="Lienhypertexte"/>
          <w:rFonts w:asciiTheme="majorHAnsi" w:eastAsia="Times New Roman" w:hAnsiTheme="majorHAnsi" w:cs="Arial"/>
          <w:sz w:val="24"/>
          <w:szCs w:val="24"/>
          <w:lang w:eastAsia="fr-FR"/>
        </w:rPr>
        <w:t>https://youtu.be/P1iqI3_1eeM?t=34</w:t>
      </w:r>
      <w:r w:rsidR="00AA6528" w:rsidRP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fldChar w:fldCharType="end"/>
      </w:r>
    </w:p>
    <w:p w:rsidR="00AA6528" w:rsidRDefault="00AA6528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En français cela donne ceci :</w:t>
      </w:r>
    </w:p>
    <w:p w:rsidR="00AA6528" w:rsidRPr="00AA6528" w:rsidRDefault="00AA6528" w:rsidP="00AA652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</w:pPr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>1 pour la peine</w:t>
      </w:r>
      <w:proofErr w:type="gramStart"/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>,</w:t>
      </w:r>
      <w:proofErr w:type="gramEnd"/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br/>
        <w:t>2 pour la joie,</w:t>
      </w:r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br/>
        <w:t>3 pour une fille,</w:t>
      </w:r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br/>
        <w:t>4 pour un garçon,</w:t>
      </w:r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br/>
        <w:t>5 pour l'argent,</w:t>
      </w:r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br/>
        <w:t>6 pour l'or,</w:t>
      </w:r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br/>
        <w:t xml:space="preserve">7 pour un secret </w:t>
      </w:r>
    </w:p>
    <w:p w:rsidR="00AA6528" w:rsidRDefault="00AA6528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</w:pPr>
      <w:proofErr w:type="gramStart"/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>à</w:t>
      </w:r>
      <w:proofErr w:type="gramEnd"/>
      <w:r w:rsidRPr="007616A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 xml:space="preserve"> ne jamais révéler.</w:t>
      </w:r>
    </w:p>
    <w:p w:rsidR="00AA6528" w:rsidRDefault="00AA6528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D7309B" w:rsidRDefault="00D7309B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946418" w:rsidRPr="00AA6528" w:rsidRDefault="00946418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D7309B" w:rsidRPr="00D7309B" w:rsidRDefault="00B81982" w:rsidP="00B81982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D7309B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lastRenderedPageBreak/>
        <w:t>Une histoire à regarder et écouter</w:t>
      </w:r>
    </w:p>
    <w:p w:rsidR="00D7309B" w:rsidRPr="00D7309B" w:rsidRDefault="00D7309B" w:rsidP="00D7309B">
      <w:pPr>
        <w:pStyle w:val="Paragraphedeliste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B81982" w:rsidRPr="00B81982" w:rsidRDefault="00B81982" w:rsidP="00D7309B">
      <w:pPr>
        <w:pStyle w:val="Paragraphedeliste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La première semaine, vous avez écouté un album de Bill Martin Jr. et Eric Carle : </w:t>
      </w:r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 xml:space="preserve">Brown </w:t>
      </w:r>
      <w:proofErr w:type="spellStart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>Bear</w:t>
      </w:r>
      <w:proofErr w:type="spellEnd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 xml:space="preserve">, Brown </w:t>
      </w:r>
      <w:proofErr w:type="spellStart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>Bear</w:t>
      </w:r>
      <w:proofErr w:type="spellEnd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 xml:space="preserve">, </w:t>
      </w:r>
      <w:proofErr w:type="spellStart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>What</w:t>
      </w:r>
      <w:proofErr w:type="spellEnd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 xml:space="preserve"> Do You </w:t>
      </w:r>
      <w:proofErr w:type="spellStart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>See</w:t>
      </w:r>
      <w:proofErr w:type="spellEnd"/>
      <w:r w:rsidRPr="00D7309B">
        <w:rPr>
          <w:rFonts w:asciiTheme="majorHAnsi" w:eastAsia="Times New Roman" w:hAnsiTheme="majorHAnsi" w:cs="Arial"/>
          <w:i/>
          <w:iCs/>
          <w:color w:val="2B2B2B"/>
          <w:sz w:val="24"/>
          <w:szCs w:val="24"/>
          <w:lang w:eastAsia="fr-FR"/>
        </w:rPr>
        <w:t xml:space="preserve"> ?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Voici un nouvel album des mêmes auteurs, qui reprend la même structure :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noProof/>
          <w:color w:val="2B2B2B"/>
          <w:sz w:val="24"/>
          <w:szCs w:val="24"/>
          <w:lang w:eastAsia="fr-FR"/>
        </w:rPr>
        <w:drawing>
          <wp:inline distT="0" distB="0" distL="0" distR="0">
            <wp:extent cx="1467853" cy="1467853"/>
            <wp:effectExtent l="19050" t="0" r="0" b="0"/>
            <wp:docPr id="2" name="Image 2" descr="http://lv71.cir.ac-dijon.fr/wp-content/uploads/sites/3/continuite_peda_2020/polar_bear_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v71.cir.ac-dijon.fr/wp-content/uploads/sites/3/continuite_peda_2020/polar_bear_couver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60" cy="14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82" w:rsidRPr="00B81982" w:rsidRDefault="00B81982" w:rsidP="00B8198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val="en-US" w:eastAsia="fr-FR"/>
        </w:rPr>
      </w:pPr>
      <w:r w:rsidRPr="00AA6528">
        <w:rPr>
          <w:rFonts w:asciiTheme="majorHAnsi" w:eastAsia="Times New Roman" w:hAnsiTheme="majorHAnsi" w:cs="Arial"/>
          <w:b/>
          <w:bCs/>
          <w:noProof/>
          <w:color w:val="2B2B2B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282575" cy="282575"/>
            <wp:effectExtent l="0" t="0" r="3175" b="0"/>
            <wp:docPr id="3" name="Image 3" descr="http://lv71.cir.ac-dijon.fr/wp-content/uploads/sites/3/Imag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v71.cir.ac-dijon.fr/wp-content/uploads/sites/3/Images/youtub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528">
        <w:rPr>
          <w:rFonts w:asciiTheme="majorHAnsi" w:eastAsia="Times New Roman" w:hAnsiTheme="majorHAnsi" w:cs="Arial"/>
          <w:b/>
          <w:bCs/>
          <w:color w:val="2B2B2B"/>
          <w:sz w:val="24"/>
          <w:szCs w:val="24"/>
          <w:lang w:val="en-US" w:eastAsia="fr-FR"/>
        </w:rPr>
        <w:t> </w:t>
      </w:r>
      <w:hyperlink r:id="rId10" w:tgtFrame="_blank" w:history="1"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val="en-US" w:eastAsia="fr-FR"/>
          </w:rPr>
          <w:t xml:space="preserve">-&gt; Polar Bear, Polar Bear, What Do You </w:t>
        </w:r>
        <w:proofErr w:type="gramStart"/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val="en-US" w:eastAsia="fr-FR"/>
          </w:rPr>
          <w:t>Hear ?</w:t>
        </w:r>
        <w:proofErr w:type="gramEnd"/>
      </w:hyperlink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val="en-US"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val="en-US" w:eastAsia="fr-FR"/>
        </w:rPr>
        <w:t> </w:t>
      </w:r>
    </w:p>
    <w:p w:rsidR="00B81982" w:rsidRPr="00AA6528" w:rsidRDefault="00B81982" w:rsidP="00AA652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>Domaine culturel : les pays anglophones du monde</w:t>
      </w:r>
    </w:p>
    <w:p w:rsidR="00AA6528" w:rsidRPr="00AA6528" w:rsidRDefault="00AA6528" w:rsidP="00AA6528">
      <w:pPr>
        <w:pStyle w:val="Paragraphedeliste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AA6528" w:rsidRDefault="00B81982" w:rsidP="00AA6528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La semaine dernière, vous deviez compléter le planisphère et le tableau suivant, avec des informations concernant quelques pays anglophones du monde :</w:t>
      </w:r>
      <w:r w:rsid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</w:t>
      </w:r>
    </w:p>
    <w:p w:rsidR="00B81982" w:rsidRPr="00B81982" w:rsidRDefault="00B81982" w:rsidP="00946418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hyperlink r:id="rId11" w:tgtFrame="_blank" w:history="1">
        <w:proofErr w:type="gramStart"/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eastAsia="fr-FR"/>
          </w:rPr>
          <w:t>tableau</w:t>
        </w:r>
        <w:proofErr w:type="gramEnd"/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eastAsia="fr-FR"/>
          </w:rPr>
          <w:t xml:space="preserve"> pays anglophones</w:t>
        </w:r>
      </w:hyperlink>
      <w:r w:rsidR="0094641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     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Avez-vous réussi ?</w:t>
      </w:r>
      <w:r w:rsidR="0094641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 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Voici la </w:t>
      </w:r>
      <w:r w:rsidRPr="00AA6528">
        <w:rPr>
          <w:rFonts w:asciiTheme="majorHAnsi" w:eastAsia="Times New Roman" w:hAnsiTheme="majorHAnsi" w:cs="Arial"/>
          <w:b/>
          <w:bCs/>
          <w:color w:val="800080"/>
          <w:sz w:val="24"/>
          <w:szCs w:val="24"/>
          <w:lang w:eastAsia="fr-FR"/>
        </w:rPr>
        <w:t>correction</w:t>
      </w:r>
      <w:r w:rsidRPr="00B81982">
        <w:rPr>
          <w:rFonts w:asciiTheme="majorHAnsi" w:eastAsia="Times New Roman" w:hAnsiTheme="majorHAnsi" w:cs="Arial"/>
          <w:color w:val="800080"/>
          <w:sz w:val="24"/>
          <w:szCs w:val="24"/>
          <w:bdr w:val="none" w:sz="0" w:space="0" w:color="auto" w:frame="1"/>
          <w:lang w:eastAsia="fr-FR"/>
        </w:rPr>
        <w:t> 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:</w:t>
      </w:r>
      <w:r w:rsidR="00AA652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</w:t>
      </w:r>
      <w:hyperlink r:id="rId12" w:tgtFrame="_blank" w:history="1"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eastAsia="fr-FR"/>
          </w:rPr>
          <w:t>correction</w:t>
        </w:r>
        <w:r w:rsidRPr="00AA6528">
          <w:rPr>
            <w:rFonts w:asciiTheme="majorHAnsi" w:eastAsia="Times New Roman" w:hAnsiTheme="majorHAnsi" w:cs="Arial"/>
            <w:color w:val="24890D"/>
            <w:sz w:val="24"/>
            <w:szCs w:val="24"/>
            <w:u w:val="single"/>
            <w:lang w:eastAsia="fr-FR"/>
          </w:rPr>
          <w:t> </w:t>
        </w:r>
      </w:hyperlink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 </w:t>
      </w:r>
    </w:p>
    <w:p w:rsidR="00B81982" w:rsidRPr="00AA6528" w:rsidRDefault="00B81982" w:rsidP="00AA652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 xml:space="preserve">Domaine culturel : quelques </w:t>
      </w:r>
      <w:proofErr w:type="gramStart"/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>plats</w:t>
      </w:r>
      <w:proofErr w:type="gramEnd"/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 xml:space="preserve"> typiques de pays anglophones</w:t>
      </w:r>
      <w:r w:rsidRPr="00AA652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br/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Cette semaine, découvrons quelques plats propres à certains pays anglophones du monde.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Vous en connaissez sûrement quelques uns, mais sans doute pas tous.</w:t>
      </w:r>
    </w:p>
    <w:p w:rsidR="00B81982" w:rsidRDefault="00B81982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Voici des </w:t>
      </w:r>
      <w:r w:rsidRPr="00AA6528">
        <w:rPr>
          <w:rFonts w:asciiTheme="majorHAnsi" w:eastAsia="Times New Roman" w:hAnsiTheme="majorHAnsi" w:cs="Arial"/>
          <w:b/>
          <w:bCs/>
          <w:color w:val="800080"/>
          <w:sz w:val="24"/>
          <w:szCs w:val="24"/>
          <w:lang w:eastAsia="fr-FR"/>
        </w:rPr>
        <w:t>étiquettes</w:t>
      </w:r>
      <w:r w:rsidRPr="00B81982">
        <w:rPr>
          <w:rFonts w:asciiTheme="majorHAnsi" w:eastAsia="Times New Roman" w:hAnsiTheme="majorHAnsi" w:cs="Arial"/>
          <w:color w:val="800080"/>
          <w:sz w:val="24"/>
          <w:szCs w:val="24"/>
          <w:bdr w:val="none" w:sz="0" w:space="0" w:color="auto" w:frame="1"/>
          <w:lang w:eastAsia="fr-FR"/>
        </w:rPr>
        <w:t> 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à découper :</w:t>
      </w:r>
    </w:p>
    <w:p w:rsidR="00946418" w:rsidRDefault="00946418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946418" w:rsidRPr="00B81982" w:rsidRDefault="00946418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noProof/>
          <w:color w:val="2B2B2B"/>
          <w:sz w:val="24"/>
          <w:szCs w:val="24"/>
          <w:lang w:eastAsia="fr-FR"/>
        </w:rPr>
        <w:drawing>
          <wp:inline distT="0" distB="0" distL="0" distR="0">
            <wp:extent cx="3909261" cy="1980042"/>
            <wp:effectExtent l="19050" t="0" r="0" b="0"/>
            <wp:docPr id="17" name="Image 1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59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82" w:rsidRPr="00B81982" w:rsidRDefault="00B81982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B81982" w:rsidRPr="00B81982" w:rsidRDefault="00B81982" w:rsidP="009464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Et un </w:t>
      </w:r>
      <w:r w:rsidRPr="00AA6528">
        <w:rPr>
          <w:rFonts w:asciiTheme="majorHAnsi" w:eastAsia="Times New Roman" w:hAnsiTheme="majorHAnsi" w:cs="Arial"/>
          <w:b/>
          <w:bCs/>
          <w:color w:val="800080"/>
          <w:sz w:val="24"/>
          <w:szCs w:val="24"/>
          <w:lang w:eastAsia="fr-FR"/>
        </w:rPr>
        <w:t>tableau</w:t>
      </w:r>
      <w:r w:rsidRPr="00B81982">
        <w:rPr>
          <w:rFonts w:asciiTheme="majorHAnsi" w:eastAsia="Times New Roman" w:hAnsiTheme="majorHAnsi" w:cs="Arial"/>
          <w:color w:val="800080"/>
          <w:sz w:val="24"/>
          <w:szCs w:val="24"/>
          <w:bdr w:val="none" w:sz="0" w:space="0" w:color="auto" w:frame="1"/>
          <w:lang w:eastAsia="fr-FR"/>
        </w:rPr>
        <w:t> 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à compléter :</w:t>
      </w:r>
      <w:r w:rsidR="0094641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 </w:t>
      </w:r>
      <w:hyperlink r:id="rId15" w:tgtFrame="_blank" w:history="1">
        <w:r w:rsidRPr="00AA6528">
          <w:rPr>
            <w:rFonts w:asciiTheme="majorHAnsi" w:eastAsia="Times New Roman" w:hAnsiTheme="majorHAnsi" w:cs="Arial"/>
            <w:b/>
            <w:bCs/>
            <w:color w:val="24890D"/>
            <w:sz w:val="24"/>
            <w:szCs w:val="24"/>
            <w:u w:val="single"/>
            <w:lang w:eastAsia="fr-FR"/>
          </w:rPr>
          <w:t>tableau</w:t>
        </w:r>
      </w:hyperlink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Bon appétit  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 xml:space="preserve">Correction à venir </w:t>
      </w:r>
      <w:r w:rsidR="00946418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la semaine prochaine</w: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.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lastRenderedPageBreak/>
        <w:t> </w:t>
      </w:r>
    </w:p>
    <w:p w:rsidR="00B81982" w:rsidRPr="00946418" w:rsidRDefault="00B81982" w:rsidP="00946418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94641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lang w:eastAsia="fr-FR"/>
        </w:rPr>
        <w:t>Compréhension orale : un bulletin météo</w:t>
      </w:r>
      <w:r w:rsidRPr="00946418">
        <w:rPr>
          <w:rFonts w:asciiTheme="majorHAnsi" w:eastAsia="Times New Roman" w:hAnsiTheme="majorHAnsi" w:cs="Arial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br/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Voici un bulletin météo pour la Grande Bretagne et la République d’Irlande.</w:t>
      </w:r>
    </w:p>
    <w:p w:rsid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Ecoutez-le bien.</w:t>
      </w:r>
    </w:p>
    <w:p w:rsidR="0030236F" w:rsidRDefault="00D01F9E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hyperlink r:id="rId16" w:history="1">
        <w:r w:rsidRPr="00600A1D">
          <w:rPr>
            <w:rStyle w:val="Lienhypertexte"/>
            <w:rFonts w:asciiTheme="majorHAnsi" w:eastAsia="Times New Roman" w:hAnsiTheme="majorHAnsi" w:cs="Arial"/>
            <w:sz w:val="24"/>
            <w:szCs w:val="24"/>
            <w:lang w:eastAsia="fr-FR"/>
          </w:rPr>
          <w:t>http://lv71.cir.ac-dijon.fr/wp-content/uploads/sites/3/continuite_peda_2020/bulletin_meteo.mp3?_=2</w:t>
        </w:r>
      </w:hyperlink>
    </w:p>
    <w:p w:rsidR="00946418" w:rsidRPr="00946418" w:rsidRDefault="00946418" w:rsidP="00B81982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color w:val="2B2B2B"/>
          <w:sz w:val="24"/>
          <w:szCs w:val="24"/>
          <w:shd w:val="clear" w:color="auto" w:fill="FFFFFF"/>
        </w:rPr>
      </w:pPr>
      <w:r w:rsidRPr="00946418">
        <w:rPr>
          <w:rFonts w:asciiTheme="majorHAnsi" w:hAnsiTheme="majorHAnsi" w:cs="Arial"/>
          <w:color w:val="2B2B2B"/>
          <w:sz w:val="24"/>
          <w:szCs w:val="24"/>
          <w:shd w:val="clear" w:color="auto" w:fill="FFFFFF"/>
        </w:rPr>
        <w:t>Placez les pictogrammes météo sur la carte que vous pouvez imprimer ou dessiner.</w:t>
      </w:r>
    </w:p>
    <w:p w:rsidR="00946418" w:rsidRDefault="00946418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hyperlink r:id="rId17" w:history="1">
        <w:r w:rsidRPr="00600A1D">
          <w:rPr>
            <w:rStyle w:val="Lienhypertexte"/>
            <w:rFonts w:asciiTheme="majorHAnsi" w:eastAsia="Times New Roman" w:hAnsiTheme="majorHAnsi" w:cs="Arial"/>
            <w:sz w:val="24"/>
            <w:szCs w:val="24"/>
            <w:lang w:eastAsia="fr-FR"/>
          </w:rPr>
          <w:t>http://lv71.cir.ac-d</w:t>
        </w:r>
        <w:r w:rsidRPr="00600A1D">
          <w:rPr>
            <w:rStyle w:val="Lienhypertexte"/>
            <w:rFonts w:asciiTheme="majorHAnsi" w:eastAsia="Times New Roman" w:hAnsiTheme="majorHAnsi" w:cs="Arial"/>
            <w:sz w:val="24"/>
            <w:szCs w:val="24"/>
            <w:lang w:eastAsia="fr-FR"/>
          </w:rPr>
          <w:t>i</w:t>
        </w:r>
        <w:r w:rsidRPr="00600A1D">
          <w:rPr>
            <w:rStyle w:val="Lienhypertexte"/>
            <w:rFonts w:asciiTheme="majorHAnsi" w:eastAsia="Times New Roman" w:hAnsiTheme="majorHAnsi" w:cs="Arial"/>
            <w:sz w:val="24"/>
            <w:szCs w:val="24"/>
            <w:lang w:eastAsia="fr-FR"/>
          </w:rPr>
          <w:t>jon.fr/wp-content/uploads/sites/3/continuite_peda_2020/carte_meteo.pdf</w:t>
        </w:r>
      </w:hyperlink>
    </w:p>
    <w:p w:rsidR="00946418" w:rsidRDefault="00946418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946418" w:rsidRPr="00AA6528" w:rsidRDefault="00946418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B81982" w:rsidRPr="00B81982" w:rsidRDefault="00B81982" w:rsidP="00B819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Voici une liste de mots pour parler de météo. Vous en connaissez certains. Pour les autres, vous pouvez les chercher dans un dictionnaire en ligne comme </w:t>
      </w:r>
      <w:proofErr w:type="spellStart"/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fldChar w:fldCharType="begin"/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instrText xml:space="preserve"> HYPERLINK "http://www.wordreference.com/enfr/" \t "_blank" </w:instrText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fldChar w:fldCharType="separate"/>
      </w:r>
      <w:r w:rsidRPr="00AA6528">
        <w:rPr>
          <w:rFonts w:asciiTheme="majorHAnsi" w:eastAsia="Times New Roman" w:hAnsiTheme="majorHAnsi" w:cs="Arial"/>
          <w:b/>
          <w:bCs/>
          <w:color w:val="24890D"/>
          <w:sz w:val="24"/>
          <w:szCs w:val="24"/>
          <w:u w:val="single"/>
          <w:lang w:eastAsia="fr-FR"/>
        </w:rPr>
        <w:t>WordReference</w:t>
      </w:r>
      <w:proofErr w:type="spellEnd"/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fldChar w:fldCharType="end"/>
      </w: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 par exemple.</w:t>
      </w:r>
    </w:p>
    <w:p w:rsid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Sur ce dictionnaire en ligne, vous pouvez en plus écouter la prononciation des mots en anglais, c’est pratique !</w:t>
      </w:r>
    </w:p>
    <w:p w:rsidR="00946418" w:rsidRPr="00B81982" w:rsidRDefault="00946418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noProof/>
          <w:color w:val="2B2B2B"/>
          <w:sz w:val="24"/>
          <w:szCs w:val="24"/>
          <w:lang w:eastAsia="fr-FR"/>
        </w:rPr>
        <w:drawing>
          <wp:inline distT="0" distB="0" distL="0" distR="0">
            <wp:extent cx="5029200" cy="1628775"/>
            <wp:effectExtent l="19050" t="0" r="0" b="0"/>
            <wp:docPr id="5" name="Image 4" descr="vocabulaire_me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ire_mete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</w:pPr>
      <w:r w:rsidRPr="00B81982">
        <w:rPr>
          <w:rFonts w:asciiTheme="majorHAnsi" w:eastAsia="Times New Roman" w:hAnsiTheme="majorHAnsi" w:cs="Arial"/>
          <w:color w:val="2B2B2B"/>
          <w:sz w:val="24"/>
          <w:szCs w:val="24"/>
          <w:lang w:eastAsia="fr-FR"/>
        </w:rPr>
        <w:t>La correction sera donnée sur la page de la semaine prochaine.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="inherit" w:eastAsia="Times New Roman" w:hAnsi="inherit" w:cs="Arial"/>
          <w:color w:val="2B2B2B"/>
          <w:sz w:val="15"/>
          <w:szCs w:val="15"/>
          <w:lang w:eastAsia="fr-FR"/>
        </w:rPr>
      </w:pPr>
      <w:r w:rsidRPr="00B81982">
        <w:rPr>
          <w:rFonts w:ascii="inherit" w:eastAsia="Times New Roman" w:hAnsi="inherit" w:cs="Arial"/>
          <w:color w:val="2B2B2B"/>
          <w:sz w:val="15"/>
          <w:szCs w:val="15"/>
          <w:lang w:eastAsia="fr-FR"/>
        </w:rPr>
        <w:t> </w:t>
      </w:r>
    </w:p>
    <w:p w:rsidR="00B81982" w:rsidRPr="00B81982" w:rsidRDefault="00B81982" w:rsidP="00B819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15"/>
          <w:szCs w:val="15"/>
          <w:lang w:eastAsia="fr-FR"/>
        </w:rPr>
      </w:pPr>
      <w:r w:rsidRPr="00B81982">
        <w:rPr>
          <w:rFonts w:ascii="inherit" w:eastAsia="Times New Roman" w:hAnsi="inherit" w:cs="Arial"/>
          <w:b/>
          <w:bCs/>
          <w:color w:val="0000FF"/>
          <w:sz w:val="28"/>
          <w:lang w:eastAsia="fr-FR"/>
        </w:rPr>
        <w:t> 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="inherit" w:eastAsia="Times New Roman" w:hAnsi="inherit" w:cs="Arial"/>
          <w:color w:val="2B2B2B"/>
          <w:sz w:val="15"/>
          <w:szCs w:val="15"/>
          <w:lang w:eastAsia="fr-FR"/>
        </w:rPr>
      </w:pPr>
      <w:r w:rsidRPr="00B81982">
        <w:rPr>
          <w:rFonts w:ascii="inherit" w:eastAsia="Times New Roman" w:hAnsi="inherit" w:cs="Arial"/>
          <w:color w:val="2B2B2B"/>
          <w:sz w:val="15"/>
          <w:szCs w:val="15"/>
          <w:lang w:eastAsia="fr-FR"/>
        </w:rPr>
        <w:t> </w:t>
      </w:r>
    </w:p>
    <w:p w:rsidR="00B81982" w:rsidRPr="00B81982" w:rsidRDefault="00B81982" w:rsidP="00B81982">
      <w:pPr>
        <w:shd w:val="clear" w:color="auto" w:fill="FFFFFF"/>
        <w:spacing w:after="227" w:line="240" w:lineRule="auto"/>
        <w:textAlignment w:val="baseline"/>
        <w:rPr>
          <w:rFonts w:ascii="inherit" w:eastAsia="Times New Roman" w:hAnsi="inherit" w:cs="Arial"/>
          <w:color w:val="2B2B2B"/>
          <w:sz w:val="15"/>
          <w:szCs w:val="15"/>
          <w:lang w:eastAsia="fr-FR"/>
        </w:rPr>
      </w:pPr>
      <w:r w:rsidRPr="00B81982">
        <w:rPr>
          <w:rFonts w:ascii="inherit" w:eastAsia="Times New Roman" w:hAnsi="inherit" w:cs="Arial"/>
          <w:color w:val="2B2B2B"/>
          <w:sz w:val="15"/>
          <w:szCs w:val="15"/>
          <w:lang w:eastAsia="fr-FR"/>
        </w:rPr>
        <w:t> </w:t>
      </w:r>
    </w:p>
    <w:p w:rsidR="002815E1" w:rsidRDefault="002815E1"/>
    <w:sectPr w:rsidR="002815E1" w:rsidSect="009464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A7B"/>
    <w:multiLevelType w:val="multilevel"/>
    <w:tmpl w:val="E68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1643A"/>
    <w:multiLevelType w:val="multilevel"/>
    <w:tmpl w:val="C2A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FC333A"/>
    <w:multiLevelType w:val="hybridMultilevel"/>
    <w:tmpl w:val="69462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A5D68"/>
    <w:multiLevelType w:val="multilevel"/>
    <w:tmpl w:val="67D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92F0B"/>
    <w:multiLevelType w:val="multilevel"/>
    <w:tmpl w:val="DEF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507D59"/>
    <w:multiLevelType w:val="multilevel"/>
    <w:tmpl w:val="344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730FA"/>
    <w:multiLevelType w:val="multilevel"/>
    <w:tmpl w:val="454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B81982"/>
    <w:rsid w:val="002815E1"/>
    <w:rsid w:val="0030236F"/>
    <w:rsid w:val="00946418"/>
    <w:rsid w:val="00AA6528"/>
    <w:rsid w:val="00B81982"/>
    <w:rsid w:val="00D01F9E"/>
    <w:rsid w:val="00D7309B"/>
    <w:rsid w:val="00E8442F"/>
    <w:rsid w:val="00E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E1"/>
  </w:style>
  <w:style w:type="paragraph" w:styleId="Titre1">
    <w:name w:val="heading 1"/>
    <w:basedOn w:val="Normal"/>
    <w:link w:val="Titre1Car"/>
    <w:uiPriority w:val="9"/>
    <w:qFormat/>
    <w:rsid w:val="00B81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9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ntry-date">
    <w:name w:val="entry-date"/>
    <w:basedOn w:val="Policepardfaut"/>
    <w:rsid w:val="00B81982"/>
  </w:style>
  <w:style w:type="character" w:styleId="Lienhypertexte">
    <w:name w:val="Hyperlink"/>
    <w:basedOn w:val="Policepardfaut"/>
    <w:uiPriority w:val="99"/>
    <w:unhideWhenUsed/>
    <w:rsid w:val="00B81982"/>
    <w:rPr>
      <w:color w:val="0000FF"/>
      <w:u w:val="single"/>
    </w:rPr>
  </w:style>
  <w:style w:type="character" w:customStyle="1" w:styleId="author">
    <w:name w:val="author"/>
    <w:basedOn w:val="Policepardfaut"/>
    <w:rsid w:val="00B81982"/>
  </w:style>
  <w:style w:type="paragraph" w:styleId="NormalWeb">
    <w:name w:val="Normal (Web)"/>
    <w:basedOn w:val="Normal"/>
    <w:uiPriority w:val="99"/>
    <w:semiHidden/>
    <w:unhideWhenUsed/>
    <w:rsid w:val="00B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1982"/>
    <w:rPr>
      <w:b/>
      <w:bCs/>
    </w:rPr>
  </w:style>
  <w:style w:type="character" w:styleId="Accentuation">
    <w:name w:val="Emphasis"/>
    <w:basedOn w:val="Policepardfaut"/>
    <w:uiPriority w:val="20"/>
    <w:qFormat/>
    <w:rsid w:val="00B81982"/>
    <w:rPr>
      <w:i/>
      <w:iCs/>
    </w:rPr>
  </w:style>
  <w:style w:type="character" w:customStyle="1" w:styleId="mejs-offscreen">
    <w:name w:val="mejs-offscreen"/>
    <w:basedOn w:val="Policepardfaut"/>
    <w:rsid w:val="00B81982"/>
  </w:style>
  <w:style w:type="character" w:customStyle="1" w:styleId="mejs-currenttime">
    <w:name w:val="mejs-currenttime"/>
    <w:basedOn w:val="Policepardfaut"/>
    <w:rsid w:val="00B81982"/>
  </w:style>
  <w:style w:type="character" w:customStyle="1" w:styleId="mejs-duration">
    <w:name w:val="mejs-duration"/>
    <w:basedOn w:val="Policepardfaut"/>
    <w:rsid w:val="00B81982"/>
  </w:style>
  <w:style w:type="paragraph" w:styleId="Textedebulles">
    <w:name w:val="Balloon Text"/>
    <w:basedOn w:val="Normal"/>
    <w:link w:val="TextedebullesCar"/>
    <w:uiPriority w:val="99"/>
    <w:semiHidden/>
    <w:unhideWhenUsed/>
    <w:rsid w:val="00B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8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A652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A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26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82">
          <w:marLeft w:val="0"/>
          <w:marRight w:val="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926">
              <w:blockQuote w:val="1"/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814">
              <w:blockQuote w:val="1"/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969">
              <w:marLeft w:val="0"/>
              <w:marRight w:val="0"/>
              <w:marTop w:val="114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768228">
              <w:blockQuote w:val="1"/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3500">
              <w:marLeft w:val="0"/>
              <w:marRight w:val="0"/>
              <w:marTop w:val="114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v71.cir.ac-dijon.fr/wp-content/uploads/sites/3/continuite_peda_2020/etiquettes_plats.pdf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lv71.cir.ac-dijon.fr/wp-content/uploads/sites/3/continuite_peda_2020/CO_correction.pdf" TargetMode="External"/><Relationship Id="rId12" Type="http://schemas.openxmlformats.org/officeDocument/2006/relationships/hyperlink" Target="http://lv71.cir.ac-dijon.fr/wp-content/uploads/sites/3/continuite_peda_2020/correction_pays.pdf" TargetMode="External"/><Relationship Id="rId17" Type="http://schemas.openxmlformats.org/officeDocument/2006/relationships/hyperlink" Target="http://lv71.cir.ac-dijon.fr/wp-content/uploads/sites/3/continuite_peda_2020/carte_mete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v71.cir.ac-dijon.fr/wp-content/uploads/sites/3/continuite_peda_2020/bulletin_meteo.mp3?_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v71.cir.ac-dijon.fr/wp-content/uploads/sites/3/continuite_peda_2020/questions.odt" TargetMode="External"/><Relationship Id="rId11" Type="http://schemas.openxmlformats.org/officeDocument/2006/relationships/hyperlink" Target="http://lv71.cir.ac-dijon.fr/wp-content/uploads/sites/3/continuite_peda_2020/culture_pays_anglophones.pdf" TargetMode="External"/><Relationship Id="rId5" Type="http://schemas.openxmlformats.org/officeDocument/2006/relationships/hyperlink" Target="http://lv71.cir.ac-dijon.fr/wp-content/uploads/sites/3/continuite_peda_2020/DD_C3_1_audio.mp3?_=1" TargetMode="External"/><Relationship Id="rId15" Type="http://schemas.openxmlformats.org/officeDocument/2006/relationships/hyperlink" Target="http://lv71.cir.ac-dijon.fr/wp-content/uploads/sites/3/continuite_peda_2020/tableau_plats.pdf" TargetMode="External"/><Relationship Id="rId10" Type="http://schemas.openxmlformats.org/officeDocument/2006/relationships/hyperlink" Target="https://www.youtube.com/watch?v=3uVb8UqPk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dcterms:created xsi:type="dcterms:W3CDTF">2020-06-01T10:07:00Z</dcterms:created>
  <dcterms:modified xsi:type="dcterms:W3CDTF">2020-06-01T11:30:00Z</dcterms:modified>
</cp:coreProperties>
</file>